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1560" w14:textId="77777777" w:rsidR="00C57514" w:rsidRDefault="00C57514" w:rsidP="00C57514">
      <w:pPr>
        <w:pStyle w:val="Heading1"/>
      </w:pPr>
      <w:r>
        <w:t>Begrebsordbog</w:t>
      </w:r>
    </w:p>
    <w:p w14:paraId="7647E517" w14:textId="77777777" w:rsidR="00B41AFA" w:rsidRDefault="00B41AFA" w:rsidP="00C5751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2405"/>
        <w:gridCol w:w="7223"/>
      </w:tblGrid>
      <w:tr w:rsidR="00B41AFA" w:rsidRPr="00ED020B" w14:paraId="5DFC6D25" w14:textId="77777777" w:rsidTr="00771A94">
        <w:trPr>
          <w:cantSplit/>
          <w:tblHeader/>
        </w:trPr>
        <w:tc>
          <w:tcPr>
            <w:tcW w:w="2405" w:type="dxa"/>
          </w:tcPr>
          <w:p w14:paraId="57D321E2" w14:textId="77777777" w:rsidR="00B41AFA" w:rsidRPr="00ED020B" w:rsidRDefault="00B41AFA" w:rsidP="00765D40">
            <w:pPr>
              <w:spacing w:before="120" w:after="120" w:line="240" w:lineRule="auto"/>
              <w:rPr>
                <w:b/>
                <w:bCs/>
              </w:rPr>
            </w:pPr>
            <w:r w:rsidRPr="00ED020B">
              <w:rPr>
                <w:b/>
                <w:bCs/>
              </w:rPr>
              <w:t>Begreb</w:t>
            </w:r>
          </w:p>
        </w:tc>
        <w:tc>
          <w:tcPr>
            <w:tcW w:w="7223" w:type="dxa"/>
          </w:tcPr>
          <w:p w14:paraId="59C7B876" w14:textId="77777777" w:rsidR="00B41AFA" w:rsidRPr="00ED020B" w:rsidRDefault="00B41AFA" w:rsidP="00765D40">
            <w:pPr>
              <w:spacing w:before="120" w:after="120" w:line="240" w:lineRule="auto"/>
              <w:rPr>
                <w:b/>
                <w:bCs/>
              </w:rPr>
            </w:pPr>
            <w:r w:rsidRPr="00ED020B">
              <w:rPr>
                <w:b/>
                <w:bCs/>
              </w:rPr>
              <w:t>Forklaring</w:t>
            </w:r>
          </w:p>
        </w:tc>
      </w:tr>
      <w:tr w:rsidR="00B41AFA" w:rsidRPr="00ED020B" w14:paraId="2C5388CC" w14:textId="77777777" w:rsidTr="00771A94">
        <w:trPr>
          <w:cantSplit/>
        </w:trPr>
        <w:tc>
          <w:tcPr>
            <w:tcW w:w="2405" w:type="dxa"/>
          </w:tcPr>
          <w:p w14:paraId="37F3FBF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Administration</w:t>
            </w:r>
          </w:p>
        </w:tc>
        <w:tc>
          <w:tcPr>
            <w:tcW w:w="7223" w:type="dxa"/>
          </w:tcPr>
          <w:p w14:paraId="2615C5D7" w14:textId="77777777" w:rsidR="00B41AFA" w:rsidRPr="00DD58BF" w:rsidRDefault="00B41AFA" w:rsidP="00765D40">
            <w:pPr>
              <w:spacing w:before="120" w:after="120" w:line="240" w:lineRule="auto"/>
              <w:rPr>
                <w:i/>
                <w:iCs/>
              </w:rPr>
            </w:pPr>
            <w:r w:rsidRPr="00DD58BF">
              <w:rPr>
                <w:rStyle w:val="Emphasis"/>
                <w:i w:val="0"/>
                <w:iCs w:val="0"/>
              </w:rPr>
              <w:t>En måde hvorpå et lægemiddel tilføres/indtages af medicinbrugeren.</w:t>
            </w:r>
          </w:p>
        </w:tc>
      </w:tr>
      <w:tr w:rsidR="00B41AFA" w:rsidRPr="00ED020B" w14:paraId="31892390" w14:textId="77777777" w:rsidTr="00771A94">
        <w:trPr>
          <w:cantSplit/>
        </w:trPr>
        <w:tc>
          <w:tcPr>
            <w:tcW w:w="2405" w:type="dxa"/>
          </w:tcPr>
          <w:p w14:paraId="1BB3BCB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Administrationsvej</w:t>
            </w:r>
          </w:p>
        </w:tc>
        <w:tc>
          <w:tcPr>
            <w:tcW w:w="7223" w:type="dxa"/>
          </w:tcPr>
          <w:p w14:paraId="595BCB0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Betegner den vej lægemiddelstoffet tilføres kroppen.</w:t>
            </w:r>
          </w:p>
        </w:tc>
      </w:tr>
      <w:tr w:rsidR="00B41AFA" w:rsidRPr="00ED020B" w14:paraId="28D29C0D" w14:textId="77777777" w:rsidTr="00771A94">
        <w:trPr>
          <w:cantSplit/>
        </w:trPr>
        <w:tc>
          <w:tcPr>
            <w:tcW w:w="2405" w:type="dxa"/>
          </w:tcPr>
          <w:p w14:paraId="7526187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Compliance</w:t>
            </w:r>
          </w:p>
        </w:tc>
        <w:tc>
          <w:tcPr>
            <w:tcW w:w="7223" w:type="dxa"/>
          </w:tcPr>
          <w:p w14:paraId="518650B2" w14:textId="77777777" w:rsidR="00B41AFA" w:rsidRPr="00ED020B" w:rsidRDefault="00B41AFA" w:rsidP="00765D40">
            <w:pPr>
              <w:spacing w:before="120" w:after="12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D020B">
              <w:t>Medicinefterlevelse af medicinbrugeren. H</w:t>
            </w:r>
            <w:r w:rsidRPr="00ED020B">
              <w:rPr>
                <w:rFonts w:ascii="Calibri" w:eastAsia="Calibri" w:hAnsi="Calibri" w:cs="Calibri"/>
                <w:color w:val="000000" w:themeColor="text1"/>
              </w:rPr>
              <w:t>øj compliance betyder, at medicinbrugeren administrerer sin medicin som foreskrevet.</w:t>
            </w:r>
          </w:p>
        </w:tc>
      </w:tr>
      <w:tr w:rsidR="00B41AFA" w:rsidRPr="00ED020B" w14:paraId="34412320" w14:textId="77777777" w:rsidTr="00771A94">
        <w:trPr>
          <w:cantSplit/>
        </w:trPr>
        <w:tc>
          <w:tcPr>
            <w:tcW w:w="2405" w:type="dxa"/>
          </w:tcPr>
          <w:p w14:paraId="32B95AF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Danne fløde</w:t>
            </w:r>
          </w:p>
        </w:tc>
        <w:tc>
          <w:tcPr>
            <w:tcW w:w="7223" w:type="dxa"/>
          </w:tcPr>
          <w:p w14:paraId="0BE3911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Når den uklare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af en emulsion ses i toppen.</w:t>
            </w:r>
          </w:p>
        </w:tc>
      </w:tr>
      <w:tr w:rsidR="00B41AFA" w:rsidRPr="00ED020B" w14:paraId="53B11646" w14:textId="77777777" w:rsidTr="00771A94">
        <w:trPr>
          <w:cantSplit/>
        </w:trPr>
        <w:tc>
          <w:tcPr>
            <w:tcW w:w="2405" w:type="dxa"/>
          </w:tcPr>
          <w:p w14:paraId="41ED565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Disperse fase</w:t>
            </w:r>
          </w:p>
        </w:tc>
        <w:tc>
          <w:tcPr>
            <w:tcW w:w="7223" w:type="dxa"/>
          </w:tcPr>
          <w:p w14:paraId="49155D8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Fasen af dråber eller partikler som er fint fordelt i dispersionsmediet i en dispersion.</w:t>
            </w:r>
          </w:p>
        </w:tc>
      </w:tr>
      <w:tr w:rsidR="00B41AFA" w:rsidRPr="00ED020B" w14:paraId="152284D9" w14:textId="77777777" w:rsidTr="00771A94">
        <w:trPr>
          <w:cantSplit/>
        </w:trPr>
        <w:tc>
          <w:tcPr>
            <w:tcW w:w="2405" w:type="dxa"/>
          </w:tcPr>
          <w:p w14:paraId="4BB0514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Dispersion</w:t>
            </w:r>
          </w:p>
        </w:tc>
        <w:tc>
          <w:tcPr>
            <w:tcW w:w="7223" w:type="dxa"/>
          </w:tcPr>
          <w:p w14:paraId="462BB09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fysisk system bestående af to eller flere ikke blandbare faser.</w:t>
            </w:r>
          </w:p>
        </w:tc>
      </w:tr>
      <w:tr w:rsidR="00B41AFA" w:rsidRPr="00ED020B" w14:paraId="6AF3B7D7" w14:textId="77777777" w:rsidTr="00771A94">
        <w:trPr>
          <w:cantSplit/>
        </w:trPr>
        <w:tc>
          <w:tcPr>
            <w:tcW w:w="2405" w:type="dxa"/>
          </w:tcPr>
          <w:p w14:paraId="684F333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Dispersionsmediet</w:t>
            </w:r>
          </w:p>
        </w:tc>
        <w:tc>
          <w:tcPr>
            <w:tcW w:w="7223" w:type="dxa"/>
          </w:tcPr>
          <w:p w14:paraId="416C187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ydre sammenhængende fase i en dispersion.</w:t>
            </w:r>
          </w:p>
        </w:tc>
      </w:tr>
      <w:tr w:rsidR="00B41AFA" w:rsidRPr="00ED020B" w14:paraId="44A40989" w14:textId="77777777" w:rsidTr="00771A94">
        <w:trPr>
          <w:cantSplit/>
        </w:trPr>
        <w:tc>
          <w:tcPr>
            <w:tcW w:w="2405" w:type="dxa"/>
          </w:tcPr>
          <w:p w14:paraId="22E0A3C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Emulgator</w:t>
            </w:r>
          </w:p>
        </w:tc>
        <w:tc>
          <w:tcPr>
            <w:tcW w:w="7223" w:type="dxa"/>
          </w:tcPr>
          <w:p w14:paraId="1EF8AA2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Et molekyle som består af en hydrofil del og en </w:t>
            </w:r>
            <w:proofErr w:type="spellStart"/>
            <w:r w:rsidRPr="00ED020B">
              <w:t>lipofil</w:t>
            </w:r>
            <w:proofErr w:type="spellEnd"/>
            <w:r w:rsidRPr="00ED020B">
              <w:t xml:space="preserve"> del. En emulgator lejrer sig i grænsefladen mellem to ikke blandbare væsker ved at nedsætte grænsefladespænding mellem de to ikke blandbare væsker (eller gasser) – herved lettes dannelsen af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og opretholdelse af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i længere tid i en emulsion.</w:t>
            </w:r>
          </w:p>
        </w:tc>
      </w:tr>
      <w:tr w:rsidR="00B41AFA" w:rsidRPr="00ED020B" w14:paraId="0F11DF83" w14:textId="77777777" w:rsidTr="00771A94">
        <w:trPr>
          <w:cantSplit/>
        </w:trPr>
        <w:tc>
          <w:tcPr>
            <w:tcW w:w="2405" w:type="dxa"/>
          </w:tcPr>
          <w:p w14:paraId="640E9A2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Emulgering</w:t>
            </w:r>
          </w:p>
        </w:tc>
        <w:tc>
          <w:tcPr>
            <w:tcW w:w="7223" w:type="dxa"/>
          </w:tcPr>
          <w:p w14:paraId="1F3D55D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Processen hvorved en emulsion fremstilles.</w:t>
            </w:r>
          </w:p>
        </w:tc>
      </w:tr>
      <w:tr w:rsidR="00B41AFA" w:rsidRPr="00ED020B" w14:paraId="28FF60F6" w14:textId="77777777" w:rsidTr="00771A94">
        <w:trPr>
          <w:cantSplit/>
        </w:trPr>
        <w:tc>
          <w:tcPr>
            <w:tcW w:w="2405" w:type="dxa"/>
          </w:tcPr>
          <w:p w14:paraId="3BB85AF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Emulsion</w:t>
            </w:r>
          </w:p>
        </w:tc>
        <w:tc>
          <w:tcPr>
            <w:tcW w:w="7223" w:type="dxa"/>
          </w:tcPr>
          <w:p w14:paraId="2A8770CE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dispersion bestående af mindst to flydende eller halvfaste faser, som er uopløselige i hinanden. Den ene fase (=</w:t>
            </w:r>
            <w:proofErr w:type="spellStart"/>
            <w:r w:rsidRPr="00ED020B">
              <w:t>dispers</w:t>
            </w:r>
            <w:proofErr w:type="spellEnd"/>
            <w:r w:rsidRPr="00ED020B">
              <w:t xml:space="preserve"> fase) er fint fordelt som dråber i den anden fase (=dispersionsmediet).</w:t>
            </w:r>
          </w:p>
        </w:tc>
      </w:tr>
      <w:tr w:rsidR="00B41AFA" w:rsidRPr="00ED020B" w14:paraId="3BD42A18" w14:textId="77777777" w:rsidTr="00771A94">
        <w:trPr>
          <w:cantSplit/>
        </w:trPr>
        <w:tc>
          <w:tcPr>
            <w:tcW w:w="2405" w:type="dxa"/>
          </w:tcPr>
          <w:p w14:paraId="683773D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Grænsefladeaktive stoffer</w:t>
            </w:r>
          </w:p>
        </w:tc>
        <w:tc>
          <w:tcPr>
            <w:tcW w:w="7223" w:type="dxa"/>
          </w:tcPr>
          <w:p w14:paraId="3263DAF8" w14:textId="77777777" w:rsidR="00B41AFA" w:rsidRPr="00ED020B" w:rsidRDefault="00B41AFA" w:rsidP="00765D40">
            <w:pPr>
              <w:spacing w:before="120" w:after="120" w:line="240" w:lineRule="auto"/>
              <w:rPr>
                <w:color w:val="000000" w:themeColor="text1"/>
              </w:rPr>
            </w:pPr>
            <w:r w:rsidRPr="00ED020B">
              <w:rPr>
                <w:color w:val="000000" w:themeColor="text1"/>
              </w:rPr>
              <w:t>Se emulgator.</w:t>
            </w:r>
          </w:p>
        </w:tc>
      </w:tr>
      <w:tr w:rsidR="00B41AFA" w:rsidRPr="00ED020B" w14:paraId="6A58813B" w14:textId="77777777" w:rsidTr="00771A94">
        <w:trPr>
          <w:cantSplit/>
        </w:trPr>
        <w:tc>
          <w:tcPr>
            <w:tcW w:w="2405" w:type="dxa"/>
          </w:tcPr>
          <w:p w14:paraId="555FB7EE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Grænsefladespænding</w:t>
            </w:r>
          </w:p>
        </w:tc>
        <w:tc>
          <w:tcPr>
            <w:tcW w:w="7223" w:type="dxa"/>
          </w:tcPr>
          <w:p w14:paraId="541FFDCD" w14:textId="77777777" w:rsidR="00B41AFA" w:rsidRPr="00ED020B" w:rsidRDefault="00B41AFA" w:rsidP="00765D40">
            <w:pPr>
              <w:spacing w:before="120" w:after="120" w:line="240" w:lineRule="auto"/>
              <w:rPr>
                <w:color w:val="000000" w:themeColor="text1"/>
              </w:rPr>
            </w:pPr>
            <w:r w:rsidRPr="00ED020B">
              <w:rPr>
                <w:color w:val="000000" w:themeColor="text1"/>
              </w:rPr>
              <w:t>Grænsefladespænding (overfladespænding) er et fænomen mellem grænsefladen af to ikke blandbare væsker (eller væske og gas (luft)), som skyldes en forskel i tiltrækningskræfterne af molekylerne i væskerne (eller væske og luft).</w:t>
            </w:r>
          </w:p>
        </w:tc>
      </w:tr>
      <w:tr w:rsidR="00B41AFA" w:rsidRPr="00ED020B" w14:paraId="71BAE42E" w14:textId="77777777" w:rsidTr="00771A94">
        <w:trPr>
          <w:cantSplit/>
        </w:trPr>
        <w:tc>
          <w:tcPr>
            <w:tcW w:w="2405" w:type="dxa"/>
          </w:tcPr>
          <w:p w14:paraId="60629384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Heterogen</w:t>
            </w:r>
          </w:p>
        </w:tc>
        <w:tc>
          <w:tcPr>
            <w:tcW w:w="7223" w:type="dxa"/>
          </w:tcPr>
          <w:p w14:paraId="40C21C0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sammensætning af uensartede elementer.</w:t>
            </w:r>
          </w:p>
        </w:tc>
      </w:tr>
      <w:tr w:rsidR="00B41AFA" w:rsidRPr="00ED020B" w14:paraId="3EA51F00" w14:textId="77777777" w:rsidTr="00771A94">
        <w:trPr>
          <w:cantSplit/>
        </w:trPr>
        <w:tc>
          <w:tcPr>
            <w:tcW w:w="2405" w:type="dxa"/>
          </w:tcPr>
          <w:p w14:paraId="29D0A12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Hjælpestoffer</w:t>
            </w:r>
          </w:p>
        </w:tc>
        <w:tc>
          <w:tcPr>
            <w:tcW w:w="7223" w:type="dxa"/>
          </w:tcPr>
          <w:p w14:paraId="43C383D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Stoffer i et lægemiddel som ikke er det virksomme lægemiddelstof.</w:t>
            </w:r>
          </w:p>
        </w:tc>
      </w:tr>
      <w:tr w:rsidR="00B41AFA" w:rsidRPr="00ED020B" w14:paraId="5B0FD308" w14:textId="77777777" w:rsidTr="00771A94">
        <w:trPr>
          <w:cantSplit/>
        </w:trPr>
        <w:tc>
          <w:tcPr>
            <w:tcW w:w="2405" w:type="dxa"/>
          </w:tcPr>
          <w:p w14:paraId="5FA32BA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Homogen</w:t>
            </w:r>
          </w:p>
        </w:tc>
        <w:tc>
          <w:tcPr>
            <w:tcW w:w="7223" w:type="dxa"/>
          </w:tcPr>
          <w:p w14:paraId="11CF5C2D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sammensætning af ensartede elementer.</w:t>
            </w:r>
          </w:p>
        </w:tc>
      </w:tr>
      <w:tr w:rsidR="00B41AFA" w:rsidRPr="00ED020B" w14:paraId="60C54B85" w14:textId="77777777" w:rsidTr="00771A94">
        <w:trPr>
          <w:cantSplit/>
        </w:trPr>
        <w:tc>
          <w:tcPr>
            <w:tcW w:w="2405" w:type="dxa"/>
          </w:tcPr>
          <w:p w14:paraId="091FCBF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Hydrofil</w:t>
            </w:r>
          </w:p>
        </w:tc>
        <w:tc>
          <w:tcPr>
            <w:tcW w:w="7223" w:type="dxa"/>
          </w:tcPr>
          <w:p w14:paraId="23DFEE4A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Vandelskende.</w:t>
            </w:r>
          </w:p>
        </w:tc>
      </w:tr>
      <w:tr w:rsidR="00B41AFA" w:rsidRPr="00ED020B" w14:paraId="1B8E0B9D" w14:textId="77777777" w:rsidTr="00771A94">
        <w:trPr>
          <w:cantSplit/>
        </w:trPr>
        <w:tc>
          <w:tcPr>
            <w:tcW w:w="2405" w:type="dxa"/>
          </w:tcPr>
          <w:p w14:paraId="0BEF27D4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Indikation</w:t>
            </w:r>
          </w:p>
        </w:tc>
        <w:tc>
          <w:tcPr>
            <w:tcW w:w="7223" w:type="dxa"/>
          </w:tcPr>
          <w:p w14:paraId="70D7A2D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Årsag eller betingelse for behandling med et lægemiddel.</w:t>
            </w:r>
          </w:p>
        </w:tc>
      </w:tr>
      <w:tr w:rsidR="00B41AFA" w:rsidRPr="00ED020B" w14:paraId="34875223" w14:textId="77777777" w:rsidTr="00771A94">
        <w:trPr>
          <w:cantSplit/>
        </w:trPr>
        <w:tc>
          <w:tcPr>
            <w:tcW w:w="2405" w:type="dxa"/>
          </w:tcPr>
          <w:p w14:paraId="336037DD" w14:textId="77777777" w:rsidR="00B41AFA" w:rsidRPr="00ED020B" w:rsidRDefault="00B41AFA" w:rsidP="00765D40">
            <w:pPr>
              <w:spacing w:before="120" w:after="120" w:line="240" w:lineRule="auto"/>
            </w:pPr>
            <w:proofErr w:type="spellStart"/>
            <w:r w:rsidRPr="00ED020B">
              <w:t>Koalescens</w:t>
            </w:r>
            <w:proofErr w:type="spellEnd"/>
          </w:p>
        </w:tc>
        <w:tc>
          <w:tcPr>
            <w:tcW w:w="7223" w:type="dxa"/>
          </w:tcPr>
          <w:p w14:paraId="0D4BEB1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Samling af mindre dråber til større dråber.</w:t>
            </w:r>
          </w:p>
        </w:tc>
      </w:tr>
      <w:tr w:rsidR="00B41AFA" w:rsidRPr="00ED020B" w14:paraId="38EDA757" w14:textId="77777777" w:rsidTr="00771A94">
        <w:trPr>
          <w:cantSplit/>
        </w:trPr>
        <w:tc>
          <w:tcPr>
            <w:tcW w:w="2405" w:type="dxa"/>
          </w:tcPr>
          <w:p w14:paraId="4666CEB3" w14:textId="77777777" w:rsidR="00B41AFA" w:rsidRPr="00ED020B" w:rsidRDefault="00B41AFA" w:rsidP="00765D40">
            <w:pPr>
              <w:spacing w:before="120" w:after="120" w:line="240" w:lineRule="auto"/>
            </w:pPr>
            <w:proofErr w:type="spellStart"/>
            <w:r w:rsidRPr="00ED020B">
              <w:t>Lipofil</w:t>
            </w:r>
            <w:proofErr w:type="spellEnd"/>
          </w:p>
        </w:tc>
        <w:tc>
          <w:tcPr>
            <w:tcW w:w="7223" w:type="dxa"/>
          </w:tcPr>
          <w:p w14:paraId="7114758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Fedtelskende.</w:t>
            </w:r>
          </w:p>
        </w:tc>
      </w:tr>
      <w:tr w:rsidR="00B41AFA" w:rsidRPr="00ED020B" w14:paraId="31A4B843" w14:textId="77777777" w:rsidTr="00771A94">
        <w:trPr>
          <w:cantSplit/>
        </w:trPr>
        <w:tc>
          <w:tcPr>
            <w:tcW w:w="2405" w:type="dxa"/>
          </w:tcPr>
          <w:p w14:paraId="103992A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lastRenderedPageBreak/>
              <w:t>Lægemiddel</w:t>
            </w:r>
          </w:p>
        </w:tc>
        <w:tc>
          <w:tcPr>
            <w:tcW w:w="7223" w:type="dxa"/>
          </w:tcPr>
          <w:p w14:paraId="0BBB75D9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lægemiddel består af et eller flere hjælpestoffer og et eller flere virksomme lægemiddelstoffer, der bl.a. forebygger eller behandler en sygdom hos mennesker og dyr.</w:t>
            </w:r>
          </w:p>
        </w:tc>
      </w:tr>
      <w:tr w:rsidR="00B41AFA" w:rsidRPr="00ED020B" w14:paraId="411B2F4E" w14:textId="77777777" w:rsidTr="00771A94">
        <w:trPr>
          <w:cantSplit/>
        </w:trPr>
        <w:tc>
          <w:tcPr>
            <w:tcW w:w="2405" w:type="dxa"/>
          </w:tcPr>
          <w:p w14:paraId="173D9F2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Lægemiddelform</w:t>
            </w:r>
          </w:p>
        </w:tc>
        <w:tc>
          <w:tcPr>
            <w:tcW w:w="7223" w:type="dxa"/>
          </w:tcPr>
          <w:p w14:paraId="3210946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fysiske form som lægemidlet fremstilles i, fx en tablet eller en creme.</w:t>
            </w:r>
          </w:p>
        </w:tc>
      </w:tr>
      <w:tr w:rsidR="00B41AFA" w:rsidRPr="00ED020B" w14:paraId="5A61CECC" w14:textId="77777777" w:rsidTr="00771A94">
        <w:trPr>
          <w:cantSplit/>
        </w:trPr>
        <w:tc>
          <w:tcPr>
            <w:tcW w:w="2405" w:type="dxa"/>
          </w:tcPr>
          <w:p w14:paraId="4AF29A0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Lægemiddelformulering</w:t>
            </w:r>
          </w:p>
        </w:tc>
        <w:tc>
          <w:tcPr>
            <w:tcW w:w="7223" w:type="dxa"/>
          </w:tcPr>
          <w:p w14:paraId="580BDE7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Sammensætning af hjælpestof(fer) og virksom(</w:t>
            </w:r>
            <w:proofErr w:type="spellStart"/>
            <w:r w:rsidRPr="00ED020B">
              <w:t>me</w:t>
            </w:r>
            <w:proofErr w:type="spellEnd"/>
            <w:r w:rsidRPr="00ED020B">
              <w:t>) lægemiddelstof(fer). I dette undervisningsmateriale kaldes lægemiddelformulering for ’sammensætning af stoffer’.</w:t>
            </w:r>
          </w:p>
        </w:tc>
      </w:tr>
      <w:tr w:rsidR="00B41AFA" w:rsidRPr="00ED020B" w14:paraId="4C3389AB" w14:textId="77777777" w:rsidTr="00771A94">
        <w:trPr>
          <w:cantSplit/>
        </w:trPr>
        <w:tc>
          <w:tcPr>
            <w:tcW w:w="2405" w:type="dxa"/>
          </w:tcPr>
          <w:p w14:paraId="75474CF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Lægemiddelstof</w:t>
            </w:r>
          </w:p>
        </w:tc>
        <w:tc>
          <w:tcPr>
            <w:tcW w:w="7223" w:type="dxa"/>
          </w:tcPr>
          <w:p w14:paraId="4B6065F0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Et stof i et lægemiddel som udøver virkning for medicinbrugeren mhp. at forebygge eller behandle sygdomme; genoprette, ændre eller påvirke fysiologiske funktioner eller at stille en medicinsk diagnose.</w:t>
            </w:r>
          </w:p>
        </w:tc>
      </w:tr>
      <w:tr w:rsidR="00B41AFA" w:rsidRPr="00ED020B" w14:paraId="60F1327E" w14:textId="77777777" w:rsidTr="00771A94">
        <w:trPr>
          <w:cantSplit/>
        </w:trPr>
        <w:tc>
          <w:tcPr>
            <w:tcW w:w="2405" w:type="dxa"/>
          </w:tcPr>
          <w:p w14:paraId="70354B0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Opløsning</w:t>
            </w:r>
          </w:p>
        </w:tc>
        <w:tc>
          <w:tcPr>
            <w:tcW w:w="7223" w:type="dxa"/>
          </w:tcPr>
          <w:p w14:paraId="478C003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En væske bestående af én fase hvori alle molekyler findes opløst på molekylær eller </w:t>
            </w:r>
            <w:proofErr w:type="spellStart"/>
            <w:r w:rsidRPr="00ED020B">
              <w:t>ionisk</w:t>
            </w:r>
            <w:proofErr w:type="spellEnd"/>
            <w:r w:rsidRPr="00ED020B">
              <w:t xml:space="preserve"> form.</w:t>
            </w:r>
          </w:p>
        </w:tc>
      </w:tr>
      <w:tr w:rsidR="00B41AFA" w:rsidRPr="00ED020B" w14:paraId="25B44AE3" w14:textId="77777777" w:rsidTr="00771A94">
        <w:trPr>
          <w:cantSplit/>
        </w:trPr>
        <w:tc>
          <w:tcPr>
            <w:tcW w:w="2405" w:type="dxa"/>
          </w:tcPr>
          <w:p w14:paraId="202AF6E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Oralt</w:t>
            </w:r>
          </w:p>
        </w:tc>
        <w:tc>
          <w:tcPr>
            <w:tcW w:w="7223" w:type="dxa"/>
          </w:tcPr>
          <w:p w14:paraId="2B4F8BD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Gennem munden og synkes.</w:t>
            </w:r>
          </w:p>
        </w:tc>
      </w:tr>
      <w:tr w:rsidR="00B41AFA" w:rsidRPr="00ED020B" w14:paraId="67AE32BD" w14:textId="77777777" w:rsidTr="00771A94">
        <w:trPr>
          <w:cantSplit/>
        </w:trPr>
        <w:tc>
          <w:tcPr>
            <w:tcW w:w="2405" w:type="dxa"/>
          </w:tcPr>
          <w:p w14:paraId="10A9BE8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Sedimentere</w:t>
            </w:r>
          </w:p>
        </w:tc>
        <w:tc>
          <w:tcPr>
            <w:tcW w:w="7223" w:type="dxa"/>
          </w:tcPr>
          <w:p w14:paraId="5AFE451C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En proces hvorved dråber eller partikler falder til bunds med tiden.</w:t>
            </w:r>
          </w:p>
        </w:tc>
      </w:tr>
      <w:tr w:rsidR="00B41AFA" w:rsidRPr="00ED020B" w14:paraId="2D29FF76" w14:textId="77777777" w:rsidTr="00771A94">
        <w:trPr>
          <w:cantSplit/>
        </w:trPr>
        <w:tc>
          <w:tcPr>
            <w:tcW w:w="2405" w:type="dxa"/>
          </w:tcPr>
          <w:p w14:paraId="20DD6842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Suppositorier</w:t>
            </w:r>
          </w:p>
        </w:tc>
        <w:tc>
          <w:tcPr>
            <w:tcW w:w="7223" w:type="dxa"/>
          </w:tcPr>
          <w:p w14:paraId="68F57F85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Faste doserede lægemidler beregnet til indføring i endetarmen. I daglig tale også kaldet stikpiller.</w:t>
            </w:r>
          </w:p>
        </w:tc>
      </w:tr>
      <w:tr w:rsidR="00B41AFA" w:rsidRPr="00ED020B" w14:paraId="2776FA55" w14:textId="77777777" w:rsidTr="00771A94">
        <w:trPr>
          <w:cantSplit/>
        </w:trPr>
        <w:tc>
          <w:tcPr>
            <w:tcW w:w="2405" w:type="dxa"/>
          </w:tcPr>
          <w:p w14:paraId="3F3A2C2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Suspension</w:t>
            </w:r>
          </w:p>
        </w:tc>
        <w:tc>
          <w:tcPr>
            <w:tcW w:w="7223" w:type="dxa"/>
          </w:tcPr>
          <w:p w14:paraId="35BCCFA7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En dispersion hvor den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er fast partikler fint fordelt i et flydende/halvfast dispersionsmedie, hvori partiklerne har ingen/meget lav opløselighed.</w:t>
            </w:r>
          </w:p>
        </w:tc>
      </w:tr>
      <w:tr w:rsidR="00B41AFA" w:rsidRPr="00ED020B" w14:paraId="7ABAE902" w14:textId="77777777" w:rsidTr="00771A94">
        <w:trPr>
          <w:cantSplit/>
        </w:trPr>
        <w:tc>
          <w:tcPr>
            <w:tcW w:w="2405" w:type="dxa"/>
          </w:tcPr>
          <w:p w14:paraId="1A6E5F5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Sætte fod</w:t>
            </w:r>
          </w:p>
        </w:tc>
        <w:tc>
          <w:tcPr>
            <w:tcW w:w="7223" w:type="dxa"/>
          </w:tcPr>
          <w:p w14:paraId="174CDCA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 xml:space="preserve">Når den uklare </w:t>
            </w:r>
            <w:proofErr w:type="spellStart"/>
            <w:r w:rsidRPr="00ED020B">
              <w:t>disperse</w:t>
            </w:r>
            <w:proofErr w:type="spellEnd"/>
            <w:r w:rsidRPr="00ED020B">
              <w:t xml:space="preserve"> fase af en emulsion ses i bunden.</w:t>
            </w:r>
          </w:p>
        </w:tc>
      </w:tr>
      <w:tr w:rsidR="00B41AFA" w:rsidRPr="00ED020B" w14:paraId="759E3BFC" w14:textId="77777777" w:rsidTr="00771A94">
        <w:trPr>
          <w:cantSplit/>
        </w:trPr>
        <w:tc>
          <w:tcPr>
            <w:tcW w:w="2405" w:type="dxa"/>
          </w:tcPr>
          <w:p w14:paraId="6F89DDD8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Terapeutisk effekt</w:t>
            </w:r>
          </w:p>
        </w:tc>
        <w:tc>
          <w:tcPr>
            <w:tcW w:w="7223" w:type="dxa"/>
          </w:tcPr>
          <w:p w14:paraId="1710ABDF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Den virksomme effekt af et lægemiddel uden at være toksisk.</w:t>
            </w:r>
          </w:p>
        </w:tc>
      </w:tr>
      <w:tr w:rsidR="00B41AFA" w:rsidRPr="00ED020B" w14:paraId="0A6492BB" w14:textId="77777777" w:rsidTr="00771A94">
        <w:trPr>
          <w:cantSplit/>
        </w:trPr>
        <w:tc>
          <w:tcPr>
            <w:tcW w:w="2405" w:type="dxa"/>
          </w:tcPr>
          <w:p w14:paraId="527038A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Viskositet</w:t>
            </w:r>
          </w:p>
        </w:tc>
        <w:tc>
          <w:tcPr>
            <w:tcW w:w="7223" w:type="dxa"/>
          </w:tcPr>
          <w:p w14:paraId="363AD75B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Beskriver en væskes flydeegenskab, dvs. et mål for indre friktions- og bindingsegenskaber mellem væskens molekyler. Fx har vand lavere viskositet end olie, og olie har lavere viskositet end honning.</w:t>
            </w:r>
          </w:p>
        </w:tc>
      </w:tr>
      <w:tr w:rsidR="00B41AFA" w:rsidRPr="00ED020B" w14:paraId="37D0451A" w14:textId="77777777" w:rsidTr="00771A94">
        <w:trPr>
          <w:cantSplit/>
        </w:trPr>
        <w:tc>
          <w:tcPr>
            <w:tcW w:w="2405" w:type="dxa"/>
          </w:tcPr>
          <w:p w14:paraId="4F5DCD26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v/v</w:t>
            </w:r>
          </w:p>
        </w:tc>
        <w:tc>
          <w:tcPr>
            <w:tcW w:w="7223" w:type="dxa"/>
          </w:tcPr>
          <w:p w14:paraId="5C941401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volumen/volumen. Et udtryk for koncentration, der angiver hvor mange ml stof befinder sig i 100 ml opløsningsmiddel. 1% v/v er lig med 1 ml/100ml.</w:t>
            </w:r>
          </w:p>
        </w:tc>
      </w:tr>
      <w:tr w:rsidR="00B41AFA" w:rsidRPr="00ED020B" w14:paraId="70F6F30C" w14:textId="77777777" w:rsidTr="00771A94">
        <w:trPr>
          <w:cantSplit/>
        </w:trPr>
        <w:tc>
          <w:tcPr>
            <w:tcW w:w="2405" w:type="dxa"/>
          </w:tcPr>
          <w:p w14:paraId="4BF7CF0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w/v</w:t>
            </w:r>
          </w:p>
        </w:tc>
        <w:tc>
          <w:tcPr>
            <w:tcW w:w="7223" w:type="dxa"/>
          </w:tcPr>
          <w:p w14:paraId="7CCD7463" w14:textId="77777777" w:rsidR="00B41AFA" w:rsidRPr="00ED020B" w:rsidRDefault="00B41AFA" w:rsidP="00765D40">
            <w:pPr>
              <w:spacing w:before="120" w:after="120" w:line="240" w:lineRule="auto"/>
            </w:pPr>
            <w:r w:rsidRPr="00ED020B">
              <w:t>% masse/volumen (</w:t>
            </w:r>
            <w:proofErr w:type="spellStart"/>
            <w:r w:rsidRPr="00ED020B">
              <w:t>weight</w:t>
            </w:r>
            <w:proofErr w:type="spellEnd"/>
            <w:r w:rsidRPr="00ED020B">
              <w:t>/</w:t>
            </w:r>
            <w:proofErr w:type="spellStart"/>
            <w:r w:rsidRPr="00ED020B">
              <w:t>volume</w:t>
            </w:r>
            <w:proofErr w:type="spellEnd"/>
            <w:r w:rsidRPr="00ED020B">
              <w:t>). Et udtryk for koncentration, der angiver hvor mange gram opløst stof befinder sig i 100 ml opløsningsmiddel. 1% w/v er lig med 1 g/100ml.</w:t>
            </w:r>
          </w:p>
        </w:tc>
      </w:tr>
    </w:tbl>
    <w:p w14:paraId="5D5CF08C" w14:textId="6D547A13" w:rsidR="00D73EB6" w:rsidRDefault="00D73EB6" w:rsidP="007208B4"/>
    <w:sectPr w:rsidR="00D73EB6" w:rsidSect="003C342E">
      <w:footerReference w:type="even" r:id="rId7"/>
      <w:footerReference w:type="default" r:id="rId8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4794" w14:textId="77777777" w:rsidR="005A17B8" w:rsidRDefault="005A17B8">
      <w:pPr>
        <w:spacing w:after="0" w:line="240" w:lineRule="auto"/>
      </w:pPr>
      <w:r>
        <w:separator/>
      </w:r>
    </w:p>
  </w:endnote>
  <w:endnote w:type="continuationSeparator" w:id="0">
    <w:p w14:paraId="4B575C22" w14:textId="77777777" w:rsidR="005A17B8" w:rsidRDefault="005A17B8">
      <w:pPr>
        <w:spacing w:after="0" w:line="240" w:lineRule="auto"/>
      </w:pPr>
      <w:r>
        <w:continuationSeparator/>
      </w:r>
    </w:p>
  </w:endnote>
  <w:endnote w:type="continuationNotice" w:id="1">
    <w:p w14:paraId="632E04CF" w14:textId="77777777" w:rsidR="005A17B8" w:rsidRDefault="005A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2915" w14:textId="5A541F8F" w:rsidR="00FF350C" w:rsidRDefault="00F039F0" w:rsidP="00A358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64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0AE093" w14:textId="77777777" w:rsidR="00FF350C" w:rsidRDefault="005C0911" w:rsidP="00FF35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42573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4904C8" w14:textId="58E30446" w:rsidR="00FF350C" w:rsidRDefault="00F039F0" w:rsidP="00A358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0708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492767" w14:textId="77777777" w:rsidR="00FF350C" w:rsidRDefault="005C0911" w:rsidP="00FF35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A34B" w14:textId="77777777" w:rsidR="005A17B8" w:rsidRDefault="005A17B8">
      <w:pPr>
        <w:spacing w:after="0" w:line="240" w:lineRule="auto"/>
      </w:pPr>
      <w:r>
        <w:separator/>
      </w:r>
    </w:p>
  </w:footnote>
  <w:footnote w:type="continuationSeparator" w:id="0">
    <w:p w14:paraId="55BA1D9F" w14:textId="77777777" w:rsidR="005A17B8" w:rsidRDefault="005A17B8">
      <w:pPr>
        <w:spacing w:after="0" w:line="240" w:lineRule="auto"/>
      </w:pPr>
      <w:r>
        <w:continuationSeparator/>
      </w:r>
    </w:p>
  </w:footnote>
  <w:footnote w:type="continuationNotice" w:id="1">
    <w:p w14:paraId="442CD26B" w14:textId="77777777" w:rsidR="005A17B8" w:rsidRDefault="005A17B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+BEQZitZ8QVxj" int2:id="3K7wCBQL">
      <int2:state int2:value="Rejected" int2:type="AugLoop_Text_Critique"/>
    </int2:textHash>
    <int2:textHash int2:hashCode="04f8jVey49zMUl" int2:id="48WvQHW8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86"/>
    <w:rsid w:val="00004CF5"/>
    <w:rsid w:val="00010827"/>
    <w:rsid w:val="00012074"/>
    <w:rsid w:val="0003685D"/>
    <w:rsid w:val="0004341A"/>
    <w:rsid w:val="00094376"/>
    <w:rsid w:val="000B3EBA"/>
    <w:rsid w:val="000D2031"/>
    <w:rsid w:val="000D3B17"/>
    <w:rsid w:val="000E35E5"/>
    <w:rsid w:val="000F22AF"/>
    <w:rsid w:val="00110BB0"/>
    <w:rsid w:val="00130C96"/>
    <w:rsid w:val="0016558F"/>
    <w:rsid w:val="0017749B"/>
    <w:rsid w:val="00184F01"/>
    <w:rsid w:val="0019190C"/>
    <w:rsid w:val="001A01C4"/>
    <w:rsid w:val="001B1458"/>
    <w:rsid w:val="001D3512"/>
    <w:rsid w:val="001F56A1"/>
    <w:rsid w:val="00207086"/>
    <w:rsid w:val="00263F9A"/>
    <w:rsid w:val="002701C8"/>
    <w:rsid w:val="002805CF"/>
    <w:rsid w:val="002D41F8"/>
    <w:rsid w:val="002E5A2C"/>
    <w:rsid w:val="002F2E58"/>
    <w:rsid w:val="00333563"/>
    <w:rsid w:val="00347466"/>
    <w:rsid w:val="00366B1E"/>
    <w:rsid w:val="00371B09"/>
    <w:rsid w:val="00371B92"/>
    <w:rsid w:val="003732DB"/>
    <w:rsid w:val="003A331B"/>
    <w:rsid w:val="003B4B35"/>
    <w:rsid w:val="003C0743"/>
    <w:rsid w:val="003C342E"/>
    <w:rsid w:val="003C426C"/>
    <w:rsid w:val="003E1430"/>
    <w:rsid w:val="004039AA"/>
    <w:rsid w:val="00466F5A"/>
    <w:rsid w:val="00492DF4"/>
    <w:rsid w:val="004C239C"/>
    <w:rsid w:val="004D3F6C"/>
    <w:rsid w:val="004E2A44"/>
    <w:rsid w:val="004F490B"/>
    <w:rsid w:val="004F5A34"/>
    <w:rsid w:val="00510B77"/>
    <w:rsid w:val="005418F3"/>
    <w:rsid w:val="005547DA"/>
    <w:rsid w:val="00562D6B"/>
    <w:rsid w:val="00564AD0"/>
    <w:rsid w:val="005661FF"/>
    <w:rsid w:val="00595353"/>
    <w:rsid w:val="005A17B8"/>
    <w:rsid w:val="005C0911"/>
    <w:rsid w:val="005C1251"/>
    <w:rsid w:val="005C6C79"/>
    <w:rsid w:val="005D03D9"/>
    <w:rsid w:val="005D559F"/>
    <w:rsid w:val="005F6786"/>
    <w:rsid w:val="00602F8C"/>
    <w:rsid w:val="006034CF"/>
    <w:rsid w:val="00650366"/>
    <w:rsid w:val="006665B4"/>
    <w:rsid w:val="0067375D"/>
    <w:rsid w:val="00696649"/>
    <w:rsid w:val="006C1196"/>
    <w:rsid w:val="006E5B32"/>
    <w:rsid w:val="006F3CE1"/>
    <w:rsid w:val="00704647"/>
    <w:rsid w:val="0070692B"/>
    <w:rsid w:val="007208B4"/>
    <w:rsid w:val="0073719D"/>
    <w:rsid w:val="007445FC"/>
    <w:rsid w:val="007448D6"/>
    <w:rsid w:val="00757DCE"/>
    <w:rsid w:val="00771A94"/>
    <w:rsid w:val="0079295C"/>
    <w:rsid w:val="00794500"/>
    <w:rsid w:val="00797F3B"/>
    <w:rsid w:val="007B52FE"/>
    <w:rsid w:val="007E5DE0"/>
    <w:rsid w:val="00802349"/>
    <w:rsid w:val="00804690"/>
    <w:rsid w:val="00883B61"/>
    <w:rsid w:val="00886C41"/>
    <w:rsid w:val="00886DBA"/>
    <w:rsid w:val="0089410B"/>
    <w:rsid w:val="00894C4A"/>
    <w:rsid w:val="00894EAE"/>
    <w:rsid w:val="008A7AF3"/>
    <w:rsid w:val="008C3798"/>
    <w:rsid w:val="008D1D38"/>
    <w:rsid w:val="008D432F"/>
    <w:rsid w:val="008E499E"/>
    <w:rsid w:val="008F7CEF"/>
    <w:rsid w:val="00911CEB"/>
    <w:rsid w:val="009336AE"/>
    <w:rsid w:val="00933FEC"/>
    <w:rsid w:val="00936475"/>
    <w:rsid w:val="00946BAF"/>
    <w:rsid w:val="00954A34"/>
    <w:rsid w:val="00955208"/>
    <w:rsid w:val="00961CE1"/>
    <w:rsid w:val="00985DF9"/>
    <w:rsid w:val="009860CA"/>
    <w:rsid w:val="009C549D"/>
    <w:rsid w:val="009E1365"/>
    <w:rsid w:val="009E3191"/>
    <w:rsid w:val="00A059C3"/>
    <w:rsid w:val="00A23458"/>
    <w:rsid w:val="00A235D9"/>
    <w:rsid w:val="00A2726F"/>
    <w:rsid w:val="00A479AB"/>
    <w:rsid w:val="00A72B0B"/>
    <w:rsid w:val="00A735AF"/>
    <w:rsid w:val="00AA6839"/>
    <w:rsid w:val="00AC46EF"/>
    <w:rsid w:val="00AF68B8"/>
    <w:rsid w:val="00B07A18"/>
    <w:rsid w:val="00B24537"/>
    <w:rsid w:val="00B340F6"/>
    <w:rsid w:val="00B41AFA"/>
    <w:rsid w:val="00B86916"/>
    <w:rsid w:val="00BC6595"/>
    <w:rsid w:val="00BD5688"/>
    <w:rsid w:val="00BE787D"/>
    <w:rsid w:val="00BF3A51"/>
    <w:rsid w:val="00C1123C"/>
    <w:rsid w:val="00C44DA5"/>
    <w:rsid w:val="00C52CA7"/>
    <w:rsid w:val="00C57514"/>
    <w:rsid w:val="00C662DE"/>
    <w:rsid w:val="00CD23D3"/>
    <w:rsid w:val="00CE577A"/>
    <w:rsid w:val="00CE6048"/>
    <w:rsid w:val="00D02D95"/>
    <w:rsid w:val="00D032BC"/>
    <w:rsid w:val="00D137DD"/>
    <w:rsid w:val="00D6120D"/>
    <w:rsid w:val="00D643F3"/>
    <w:rsid w:val="00D73C20"/>
    <w:rsid w:val="00D73EB6"/>
    <w:rsid w:val="00DB168D"/>
    <w:rsid w:val="00DC2D99"/>
    <w:rsid w:val="00DD58BF"/>
    <w:rsid w:val="00E43F9C"/>
    <w:rsid w:val="00E4572D"/>
    <w:rsid w:val="00E60E75"/>
    <w:rsid w:val="00E6183C"/>
    <w:rsid w:val="00EF4734"/>
    <w:rsid w:val="00F02C6A"/>
    <w:rsid w:val="00F039F0"/>
    <w:rsid w:val="00F070BA"/>
    <w:rsid w:val="00F261CE"/>
    <w:rsid w:val="00F3755B"/>
    <w:rsid w:val="00F41FDB"/>
    <w:rsid w:val="00F82443"/>
    <w:rsid w:val="00F900D0"/>
    <w:rsid w:val="00F97954"/>
    <w:rsid w:val="00FA387A"/>
    <w:rsid w:val="00FB6185"/>
    <w:rsid w:val="00FD3AFD"/>
    <w:rsid w:val="00FE13FC"/>
    <w:rsid w:val="00FF1726"/>
    <w:rsid w:val="00FF6D59"/>
    <w:rsid w:val="02F068B8"/>
    <w:rsid w:val="06377349"/>
    <w:rsid w:val="07B5AED4"/>
    <w:rsid w:val="0C0D34B9"/>
    <w:rsid w:val="0EC36A56"/>
    <w:rsid w:val="16C5E478"/>
    <w:rsid w:val="19AFD777"/>
    <w:rsid w:val="1D3525FC"/>
    <w:rsid w:val="1E35CB05"/>
    <w:rsid w:val="26542BBC"/>
    <w:rsid w:val="26DC0842"/>
    <w:rsid w:val="315D851E"/>
    <w:rsid w:val="39689703"/>
    <w:rsid w:val="3EE00017"/>
    <w:rsid w:val="444B8386"/>
    <w:rsid w:val="47EAD7F2"/>
    <w:rsid w:val="4986A853"/>
    <w:rsid w:val="4CBE4915"/>
    <w:rsid w:val="4FF5E9D7"/>
    <w:rsid w:val="5191BA38"/>
    <w:rsid w:val="532D8A99"/>
    <w:rsid w:val="56652B5B"/>
    <w:rsid w:val="56FB1490"/>
    <w:rsid w:val="5800FBBC"/>
    <w:rsid w:val="5B08FC12"/>
    <w:rsid w:val="5B9A70C5"/>
    <w:rsid w:val="5D075A91"/>
    <w:rsid w:val="5F8D467D"/>
    <w:rsid w:val="600EBE01"/>
    <w:rsid w:val="6242DB50"/>
    <w:rsid w:val="6672631D"/>
    <w:rsid w:val="6A1A41DF"/>
    <w:rsid w:val="7CC5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9BC33"/>
  <w15:chartTrackingRefBased/>
  <w15:docId w15:val="{35DE4059-D50A-AF4E-B156-C9188C77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8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F6786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F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86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F6786"/>
  </w:style>
  <w:style w:type="paragraph" w:styleId="Header">
    <w:name w:val="header"/>
    <w:basedOn w:val="Normal"/>
    <w:link w:val="HeaderChar"/>
    <w:uiPriority w:val="99"/>
    <w:unhideWhenUsed/>
    <w:rsid w:val="00757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DC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6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1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57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B22D-CEF7-4316-9D75-FD8888BC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526</Words>
  <Characters>3250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Begrebsordbog</dc:title>
  <dc:subject/>
  <dc:creator>Anne sofie Holst Knap</dc:creator>
  <cp:keywords/>
  <dc:description/>
  <cp:lastModifiedBy>Louise Søe Bak</cp:lastModifiedBy>
  <cp:revision>145</cp:revision>
  <dcterms:created xsi:type="dcterms:W3CDTF">2023-03-16T14:05:00Z</dcterms:created>
  <dcterms:modified xsi:type="dcterms:W3CDTF">2023-05-31T08:48:00Z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2023-03-16T14:05:44Z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21f2fd0e-13da-4da2-862f-9e21febdd5aa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